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7"/>
        <w:ind w:left="0" w:leftChars="0" w:firstLine="0" w:firstLineChars="0"/>
        <w:jc w:val="center"/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2"/>
          <w:szCs w:val="32"/>
          <w:lang w:val="en-US" w:eastAsia="zh-CN" w:bidi="ar-SA"/>
        </w:rPr>
        <w:t>（省对下专项转移支付资金--妇女儿童关爱救助及维权专项资金）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项目绩效自评满分100分，自评结果100分。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2023年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预算资金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195,000.00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元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到位资金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195,000.00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元，资金到位率100%。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2023年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度项目资金实际执行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195,000.00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元，执行率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量指标：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救助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93人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 w:ascii="方正仿宋_GBK" w:hAnsi="微软雅黑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质量指标：最低救助金额1000元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社会效益指标：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100%验收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服务对象满意度指标：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受益对象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满意度大于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%。达到预期目标。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1.立项目的</w:t>
      </w:r>
    </w:p>
    <w:p>
      <w:pPr>
        <w:spacing w:line="579" w:lineRule="exact"/>
        <w:ind w:firstLine="640" w:firstLineChars="200"/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广泛宣传普及“两癌”知识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，提高妇女群众的健康意识；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一定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程度上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缓解患病妇女家庭经济压力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，给予她们经济上的帮助和精神上的鼓励，重树生活信心，坚定治病决心，增加妇女群众的幸福感、获得感；加大社会各界对妇女健康问题的关心关注和关怀，有效传递党委政府的关爱，促进妇女健康。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2023年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预算资金195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000.00元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到位资金195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000.00元，资金到位率100%。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2023年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度项目资金实际执行195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000.00元，执行率100%。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根据保财绩〔202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〕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号文件要求，市妇联严格按照要求积极开展项目支出绩效自评工作，绩效管理领导小组组织各部室领导及业务人员学习相关文件精神。立足工作实际和特点，根据工作任务、职能职责、预算管理相关制度、部门预（决）算情况、年度履职绩效目标和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项目申报书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color w:val="auto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年度财政资金预算数为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195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000.00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元，执行数为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195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方正仿宋_GBK" w:hAnsi="微软雅黑" w:eastAsia="方正仿宋_GBK"/>
          <w:color w:val="auto"/>
          <w:sz w:val="32"/>
          <w:szCs w:val="32"/>
        </w:rPr>
        <w:t>000.00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元，执行率为100%。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量指标：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救助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93人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pStyle w:val="2"/>
        <w:ind w:firstLine="640" w:firstLineChars="200"/>
        <w:rPr>
          <w:rFonts w:hint="default" w:ascii="方正仿宋_GBK" w:hAnsi="微软雅黑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微软雅黑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质量指标：最低救助金额1000元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社会效益指标：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100%验收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。达到预期目标。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服务对象满意度指标：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受益对象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满意度大于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方正仿宋_GBK" w:hAnsi="微软雅黑" w:eastAsia="方正仿宋_GBK"/>
          <w:color w:val="auto"/>
          <w:sz w:val="32"/>
          <w:szCs w:val="32"/>
        </w:rPr>
        <w:t>%。达到预期目标。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（四）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color w:val="auto"/>
        </w:rPr>
      </w:pPr>
      <w:r>
        <w:rPr>
          <w:rFonts w:hint="eastAsia" w:ascii="方正仿宋_GBK" w:hAnsi="微软雅黑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</w:rPr>
        <w:t>无。</w:t>
      </w:r>
    </w:p>
    <w:p>
      <w:pPr>
        <w:rPr>
          <w:color w:val="auto"/>
        </w:rPr>
      </w:pPr>
    </w:p>
    <w:p>
      <w:pPr>
        <w:spacing w:line="579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2024年3月25日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5B896A4F"/>
    <w:rsid w:val="02A93B1B"/>
    <w:rsid w:val="0ACB698C"/>
    <w:rsid w:val="0BE91220"/>
    <w:rsid w:val="0FFB3362"/>
    <w:rsid w:val="1E3619C8"/>
    <w:rsid w:val="2217046D"/>
    <w:rsid w:val="31C41DE7"/>
    <w:rsid w:val="39F67744"/>
    <w:rsid w:val="54A9212B"/>
    <w:rsid w:val="55EC5708"/>
    <w:rsid w:val="5B896A4F"/>
    <w:rsid w:val="65DB4C64"/>
    <w:rsid w:val="7A546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customStyle="1" w:styleId="7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2023-03-23T02:08:00Z</dcterms:created>
  <dc:creator>Administrator</dc:creator>
  <cp:lastModifiedBy>Administrator</cp:lastModifiedBy>
  <dcterms:modified xsi:type="dcterms:W3CDTF">2024-03-25T07:58:31Z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30DEEF5660034BC7A04DAC8CCEC71C37_13</vt:lpwstr>
  </property>
</Properties>
</file>